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弘扬一二九运动爱国运动，做踔厉奋发的新时代青年”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演讲比赛评分标准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本次比赛以百分制进行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主题内容：作品内容健康向上，中心明确，以“弘扬一二九运动爱国运动，做踔厉奋发的新时代青年”为主题；（20分）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2、朗诵技巧：语气、语调、语速与朗诵内容相协调，表达自然顺畅，节奏把握得当，朗诵技巧运用自如；（20分）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3、语言水平；普通话标准、吐字清楚、内容熟练；（10分）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4、仪表风范：（共10分）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①服饰大方得体，与朗诵内容相协调，仪态自然庄重符合大学生身份；手势、表情等态势语言表达合理，能正确反应作品的内涵。（5分）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②上下场井然有序，文明参赛、观赛，有较强的集体荣誉感和大局意识。（5分）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5、情感表达：感情真挚饱满，表达自然，富有韵味和感染力，表现力和观赏性强，能与观众产生共鸣。（20分）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6、创新形式：脱稿，艺术性强；适当配以伴舞、配乐或情景剧，抑或以其他富有特色的形式朗诵；（20分）</w:t>
      </w:r>
    </w:p>
    <w:p>
      <w:pPr>
        <w:pStyle w:val="style0"/>
        <w:rPr/>
      </w:pPr>
      <w:r>
        <w:rPr>
          <w:rFonts w:hint="eastAsia"/>
          <w:lang w:eastAsia="zh-CN"/>
        </w:rPr>
        <w:t>（注：根据打分情况，去掉一个最高分和最低分根据平均分高低 确定最终排名。）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416</Words>
  <Characters>422</Characters>
  <Application>WPS Office</Application>
  <Paragraphs>12</Paragraphs>
  <CharactersWithSpaces>423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2024-11-26T11:02:58Z</dcterms:created>
  <dc:creator>V2301A</dc:creator>
  <lastModifiedBy>V2301A</lastModifiedBy>
  <dcterms:modified xsi:type="dcterms:W3CDTF">2024-11-26T11:11:23Z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0a9dad9076ec427cb6babb693e5804bb_21</vt:lpwstr>
  </property>
</Properties>
</file>